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2013/345 vom 28. April 2015</w:t>
      </w:r>
    </w:p>
    <w:p>
      <w:r>
        <w:t>Sg Versicherungsgericht, 2015-04-28, DE</w:t>
      </w:r>
    </w:p>
    <w:p>
      <w:r>
        <w:rPr>
          <w:b/>
        </w:rPr>
        <w:t xml:space="preserve">Quelle: </w:t>
      </w:r>
      <w:r>
        <w:t>https://mcp.opencaselaw.ch/entscheid/sg_publikationen_IV 2013_345</w:t>
      </w:r>
    </w:p>
    <w:p>
      <w:r>
        <w:t>FR: SG_VERSICHERUNGSGERICHT IV 2013/345 du 28 avril 2015</w:t>
      </w:r>
    </w:p>
    <w:p>
      <w:r>
        <w:t>IT: SG_VERSICHERUNGSGERICHT IV 2013/345 del 28 aprile 2015</w:t>
      </w:r>
    </w:p>
    <w:p>
      <w:pPr>
        <w:pStyle w:val="Heading2"/>
      </w:pPr>
      <w:r>
        <w:t>Regeste</w:t>
      </w:r>
    </w:p>
    <w:p>
      <w:r>
        <w:t>Voraussetzungen und Verwertbarkeit einer Überwachung. Zeitpunkt der Renteneinstellung, Einfluss einer Meldepflichtverletzung (Art. 88a IVV; Art. 88bis Abs. 2 IVV; Art. 77 IVV). Rückforderung zu Unrecht bezogener Renten, Art. 25 ATSG (Entscheid des Versicherungsgerichts des Kantons St. Gallen vom 28. April 2015, IV 2013/345).</w:t>
      </w:r>
    </w:p>
    <w:p>
      <w:pPr>
        <w:pStyle w:val="Heading2"/>
      </w:pPr>
      <w:r>
        <w:t>Erwägungen</w:t>
      </w:r>
    </w:p>
    <w:p>
      <w:r>
        <w:rPr>
          <w:b/>
        </w:rPr>
        <w:t>E. 1</w:t>
      </w:r>
    </w:p>
    <w:p>
      <w:r>
        <w:t>1.1  Nach Art. 28 Abs. 2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1.2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Kann eine rentenberechtigte Person neu ein Erwerbseinkommen erzielen oder ein bestehendes Erwerbseinkommen erhöhen, so wird die Rente nur dann im Sinne von Artikel 17 Abs. 1 ATSG revidiert, wenn die Einkommensverbesserung jährlich mehr als 1500 Franken beträgt (Art. 31 Abs. 1 IVG). Gemäss Art. 88a Abs. 1 IVV ist eine Verbesserung der Erwerbsfähigkeit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1.3  Der Berechtigte hat jede für den Leistungsanspruch wesentliche Änderung, namentlich eine solche des Gesundheitszustands, der Arbeits- oder Erwerbsfähigkeit sowie der persönlichen und gegebenenfalls wirtschaftlichen Verhältnisse unverzüglich der IV-Stelle anzuzeigen (Art. 77 der Verordnung über die Invalidenversicherung [IVV; SR 831.201]). 1.4  Nach Art. 88 bis IVV erfolgt die Herabsetzung oder Aufhebung der Renten frühestens vom ersten Tag des zweiten der Zustellung der Verfügung folgenden Monats an (lit. a). Sie erfolgt rückwirkend vom Eintritt der für den Anspruch erheblichen Änderung, wenn die unrichtige Ausrichtung einer Leistung darauf zurückzuführen ist, dass der Bezüger sie unrechtmässig erwirkt hat oder der ihm gemäss Art. 77 zumutbaren Meldepflicht nicht nachgekommen ist (Art. 88 bis Abs. 2 lit. b IVV). 1.5  Unrechtmässige Leistungen sind zurückzuerstatten. Wer Leistungen in gutem Glauben empfangen hat, muss sie nicht zurückerstatten, wenn eine grosse Härte vorliegt (Art. 25 Abs. 1 ATSG). Der Rückerstattungsanspruch erlischt mit dem Ablauf eines Jahres, nachdem die Versicherungseinrichtung davon Kenntnis erhalten hat, spätestens aber mit dem Ablauf von fünf Jahren nach der Entrichtung der einzelnen Leistung (Art. 25 Abs. 2 ATSG).</w:t>
      </w:r>
    </w:p>
    <w:p>
      <w:r>
        <w:rPr>
          <w:b/>
        </w:rPr>
        <w:t>E. 2</w:t>
      </w:r>
    </w:p>
    <w:p>
      <w:r>
        <w:t>2.1  Mit Verfügung vom 3. Juni 2013 stellte die Beschwerdegegnerin die Invalidenrente des Beschwerdeführers rückwirkend per 31. Oktober 2010 ein (act. G 1.2). Sie stützte sich dabei insbesondere auf anonyme Hinweise, die Überwachung und das medizinische Gutachten vom 4. Mai 2012. Sie erwog, aus letzterem gehe hervor, dass der Beschwerdeführer aktuell an keiner die Arbeitsfähigkeit in relevanter Weise beeinträchtigenden Krankheit leide. Es bestünden sogar begründete Zweifel daran, ob je eine Krankheit vorgelegen habe, die zu einer vollständigen Arbeitsunfähigkeit habe führen können. Es gebe keinen Grund, an den Schlüssen dieses Gutachtens zu zweifeln, zumal es gestützt werde durch die Ergebnisse der Observation und der übrigen Abklärungen (act. G 1.2-4). Die früher und aktuell erhobenen Befunde liessen auf eine Verbesserung (des Gesundheitszustandes) schliessen. Damit sei ein Anpassungsgrund ausgewiesen. Eine Anpassung rechtfertige sich aber auch als Folge der Erwerbsaufnahme. Eine solche erlaube eine revisionsweise Überprüfung des Rentenanspruchs mit voller Kognition (act. G 1.2-5). Der Beschwerdeführer habe die Erwerbsaufnahme verschwiegen. Diese Meldepflichtsverletzung rechtfertige eine rückwirkende Renteneinstellung. Die Rente sei deshalb rückwirkend per 31. Oktober 2010 einzustellen (act. G 1.2-5, 8). 2.2  Die angefochtene Verfügung begründet die Einstellung der Rente in erster Linie mit einer Verbesserung des Gesundheitszustandes seit (spätestens) August 2010. Frühere Entscheide werden nicht aufgehoben, und die Rente wird auch nicht rückwirkend auf den Zeitpunkt eines früheren Entscheids eingestellt. Es liegt somit eine Anpassung im Sinne von Art. 17 ATSG und nicht etwa eine Wiedererwägung im Sinne von Art. 53 Abs. 2 ATSG vor. Es ist daher im Folgenden zu prüfen, ob die Voraussetzungen einer Anpassung erfüllt sind, und auf welchen Zeitpunkt diese gegebenenfalls zu erfolgen hat.</w:t>
      </w:r>
    </w:p>
    <w:p>
      <w:r>
        <w:rPr>
          <w:b/>
        </w:rPr>
        <w:t>E. 3</w:t>
      </w:r>
    </w:p>
    <w:p>
      <w:r>
        <w:t>3.1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Im Weiteren sind die ärztlichen Auskünfte eine wichtige Grundlage für die Beurteilung der Frage, welche Arbeitsleistungen der versicherten Person noch zugemutet werden können (BGE 125 V 261 E. 4 mit Hinweisen). 3.2  Im Sozialversicherungsrecht gilt der Untersuchungsgrundsatz. Verwaltung und Sozialversicherungsgericht haben von sich aus für die richtige und vollständige Abklärung des rechtserheblichen Sachverhaltes zu sorgen (BGE 122 V 158 E. 1a); in diesem Sinn trifft die Verwaltung grundsätzlich auch die Beweisführungslast.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In beweisrechtlicher Hinsicht gilt der Grundsatz der freien Beweiswürdigung. Danach haben die urteilenden Instanzen die Beweise frei, d.h. ohne Bindung an förmliche Beweisregeln, sowie umfassend und pflichtgemäss zu würdigen.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352 E. 3a mit Hinweisen). 3.3  Im Sinne einer Richtlinie ist den im Rahmen des Verwaltungsverfahrens eingeholten Gutachten von externen Spezialärzten,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Zu beachten sind sodann die einschlägigen Verfahrensvorschriften und die Mitwirkungsrechte der Verfahrensbeteiligten (BGE 137 V 227 E. 1.3.4; BGE 125 V 353 E. 3b/bb).</w:t>
      </w:r>
    </w:p>
    <w:p>
      <w:r>
        <w:rPr>
          <w:b/>
        </w:rPr>
        <w:t>E. 4</w:t>
      </w:r>
    </w:p>
    <w:p>
      <w:r>
        <w:t>Vorab ist zu prüfen, ob die Anordnung der Überwachung sowie die Verwertung der daraus gewonnenen Erkenntnisse für die Begutachtung und die angefochtene Verfügung rechtlich zulässig waren. 4.1  Der Rechtsvertreter des Beschwerdeführers bringt zunächst vor, die Observation sei aus dem Recht zu weisen, da sie gegen das versicherungsrechtliche Gebot der gegenseitigen Rücksichtnahme zwischen Versicherer und versicherter Person, gegen die Grundsätze rechtstaatlichen Handelns sowie in mehrfacher Hinsicht gegen die Grundrechte der Privatsphäre (Art. 13 BV), der Persönlichkeitsentfaltung (Art. 10 Abs. 2 BV, sowie gegen den Datenschutz (Art. 10 Abs. 2 BV) verstosse, insbesondere, weil auch die Wegfahrten am Wohnsitz ausgekundschaftet worden seien (act. G 1-4; act. G 12-3 f.). Die Observation sei objektiv nicht geboten gewesen, da die Beschwerdegegnerin von ihm über seine Arbeitstätigkeit im Betrieb seien Sohnes vor Beginn der Überwachung in Kenntnis gesetzt worden sei (act. G 12-5). Die Überwachung sei sodann zur Aufdeckung einer allfälligen "Schwarzarbeit" angeordnet worden und dürfe daher in Bezug auf den Rentenanspruch nicht verwertet werden (act. G 12-4). 4.2  Das Bundesgericht hat festgehalten, die Überwachung im öffentlichen Raum stelle einen relativ geringfügigen, durch Art. 43 in Verbindung mit Art. 28 ATSG sowie Art. 59 Abs. 5 IVG abgedeckten Eingriff in die grundrechtlichen Positionen der überwachten Person dar (BGE 137 I 331 E. 5.1 f.). Die Anordnung einer Observation durch einen Privatdetektiv sei grundsätzlich ein geeignetes Mittel, um die versicherte Person bei der Ausübung alltäglicher Verrichtungen zu sehen. Die unmittelbare Wahrnehmung könne bezüglich der Arbeitsfähigkeit einen anderen Erkenntnisgewinn bringen als eine weitere Begutachtung (BGE 137 I 332 E. 5.4.1). Die Observation müsse objektiv geboten sein, womit gemeint sei, dass konkrete Anhaltspunkte vorliegen müssten, die Zweifel an den geäusserten gesundheitlichen Beschwerden oder der geltend gemachten Arbeitsunfähigkeit aufkommen liessen. Solche Anhaltspunkte könnten beispielsweise gegeben sein bei widersprüchlichem Verhalten der versicherten Person oder wenn Zweifel an der Redlichkeit derselben bestünden (eventuell durch Angaben und Beobachtungen Dritter), bei Inkonsistenzen anlässlich der medizinischen Untersuchung, Aggravation, Simulation oder Selbstschädigung u.Ä. Diese Elemente könnten einzeln oder in Kombination zureichende Hinweise liefern, die zur objektiven Gebotenheit der Observation führten (BGE 137 I 327 S. 332 f. E. 5.4.2.1, mit weiteren Hinweisen). Die Ergebnisse einer zulässigen Überwachung könnten zusammen mit einer ärztlichen Aktenbeurteilung grundsätzlich geeignet sein, eine genügende Basis für Sachverhaltsfeststellungen betreffend den Gesundheitszustand und die Arbeitsfähigkeit zu bilden (BGE 137 I 337 E. 7.1, mit weiteren Hinweisen).</w:t>
      </w:r>
    </w:p>
    <w:p>
      <w:r>
        <w:rPr>
          <w:b/>
        </w:rPr>
        <w:t>E. 4.3</w:t>
      </w:r>
    </w:p>
    <w:p>
      <w:r>
        <w:t>4.3.1      Der Rechtsvertreter des Beschwerdeführers legt einen Arbeitsvertrag vom 1. August 2010 vor (act. G 12.1). Am 8. Juni 2011 sagte der Beschwerdeführer dazu aus, sein Sohn habe im August 2010 den Imbisstand übernommen. Er habe etwa drei Wochen später dort zu arbeiten begonnen, nachdem der Sohn die Formulare, die Lohnabrechnungen erstellt habe (IV-act. 87-7). Den Vertrag und die Lohnabrechnungen habe er persönlich bei der SVA abgegeben, falls eine Kontrolle wegen Schwarzarbeit durchgeführt würde. Er wisse aber nicht, ob die Unterlagen an die EL oder die IV weitergeleitet worden seien (IV-act. 87-2). Die Lohnabrechnungen für die Monate August und September 2010 sind mit dem 18. Oktober 2010 datiert, und erstere trägt den Eingangsstempel der SVA vom 28. Oktober 2010 (act. G 12.3; act. G 12.4; EL-act. 123-6 f.). Es ist somit hinreichend erwiesen, dass der Beschwerdeführer spätestens am 28. Oktober 2010 den Arbeitsvertrag und die Lohnabrechnungen für die Monate August und September 2010 bei der SVA einreichte. Ein Beizug der (weiteren) EL-Akten erübrigt sich somit. 4.3.2      Der Beschwerdeführer hatte anlässlich der amtlichen Revisionen vom Juni 2005 (IV-act. 54) und vom November 2008 (IV-act. 65) jeweils angegeben, sein Gesundheitszustand sei unverändert. Die Observation erfolgte namentlich gestützt auf einen anonymen Hinweis, wonach der Beschwerdeführer im Imbiss seines Sohnes arbeite (IV-act. 66). Sodann war der IV-Stelle bekannt, dass der Sohn offenbar in einer bis Ende Juli 2011 dauernden Ausbildung zum Plattenleger stand (IV-act. 70). Zudem lagen Hinweise vor, dass der Versicherte bereits in G.___ in einem Imbissbetrieb gearbeitet habe. Die Einschränkung der Arbeitsfähigkeit bestand wegen ausschliesslich psychischer Beschwerden, deren Diagnose wesentlich auf eigenen Angaben des Beschwerdeführers beruhte. Selbst wenn die IV-Stelle am 28. Oktober 2010 (oder in den Tagen zuvor) den Arbeitsvertrag zur Kenntnis nahm - was im Übrigen unsicher ist, zumal sich dieser in den Akten der EL befand -, durfte sie unter den gegebenen Umständen von ausreichenden Anhaltspunkten ausgehen, dass der Beschwerdeführer nicht bloss im vereinbarten, sondern in einem erheblich umfangreicheren Pensum tätig war. Wenn die Verwaltung die Observation unter diesen Umständen als objektiv geboten erachtete, um zuverlässigere Erkenntnisse über die Einschränkung der Arbeitsfähigkeit zu gewinnen, als dies ausschliesslich durch eine medizinische Begutachtung möglich gewesen wäre, ist dies nicht zu beanstanden. Die Tatsache, dass der Beschwerdeführer einen Arbeitsvertrag vorlegte, vermochte daher die Einschätzung, die Observation sei objektiv geboten, nicht zu beseitigen und verpflichtete nicht zu deren Abbruch. 4.3.3      Im Antrag zur Personenobservation wurde als Grund der Überwachung genannt, dass der Beschwerdeführer mit einem IV-Grad von 100 % berentet sei. Es lägen Hinweise vor, dass er im türkischen Imbiss-Laden seines Sohnes tätig sei (IV-act. 70). Daraus geht hervor, dass die Observation im Hinblick auf die IV-Rente angeordnet wurde und nicht im Zusammenhang steht mit der Entrichtung allfälliger Sozialversicherungsbeiträge. Die Grundlage der Anordnung schliesst somit eine Verwertung des Observationsmaterials nicht aus. 4.4  Die Überwachung erfolgte vor dem und im Imbisslokal des Sohnes sowie beim Zurücklegen des Weges vom Wohnort zum J.___. Sie umfasste somit lediglich den öffentlichen Raum, wozu auch ein frei zugänglicher Restaurationsbetrieb zu zählen ist, und nicht zur Privatsphäre gehörende Tätigkeiten. Die Observation bewirkte daher keinen schweren Eingriff in die verfassungsmässigen Rechte des Beschwerdeführers. Damit erweisen sich die Überwachung und die Verwertung der durch sie gewonnenen Erkenntnisse als rechtskonform.</w:t>
      </w:r>
    </w:p>
    <w:p>
      <w:r>
        <w:rPr>
          <w:b/>
        </w:rPr>
        <w:t>E. 5</w:t>
      </w:r>
    </w:p>
    <w:p>
      <w:r>
        <w:t>5.1  Anlässlich der Überwachung konnte festgestellt werden, dass der Beschwerdeführer am Freitag, 29. Oktober 2010, Dienstag 2. November 2010, Freitag 5. November 2010, Donnerstag 11. November 2010, Freitag 12. November 2010, sowie am Montag, 14. Februar 2010, jeweils ab rund 10.00 Uhr im J.___ Arbeiten jeglicher Art verrichtete (Zubereitung der Speisen, Bedienung der Kundschaft, Reinigungsarbeiten) und Bestellungen auslieferte. Sein Einsatz endete am 29. Oktober 2010, am 2. November 2010 und am 12. November 2010 jeweils zwischen 14.00 und 14.30 Uhr. Am 5. November 2010, 11. November 2010 und am 14. Februar 2011 erfolgte die Observation jeweils nur über Mittag bis 12.00 bzw. 13.00 Uhr und wurde abgebrochen, während der Beschwerdeführer Gäste bediente und sich mit ihnen unterhielt (zum Ganzen: IV-act. 74-7 ff., 75-6 f.). 5.2  Der Rechtsvertreter des Beschwerdeführers macht geltend, der Beschwerdeführer sei vom 29. Oktober 2010 bis zum 12. November 2010 und am 14. Februar 2011 überwacht worden. Während dieser insgesamt 16 Tage habe er sich lediglich an sechs Tagen und an diesen während nur 4-5 Stunden im Geschäft seines Sohnes aufgehalten (act. G 1-5). Dies trifft so nicht zu. Aus der Chronologie der Überwachung geht hervor, dass der Beschwerdeführer während der Überwachungsphase vom 29. Oktober 2010 bis 12. November 2010 nicht täglich, sondern lediglich an den protokollierten Tagen beobachtet worden war (IV-act. 74-6 ff.). Dem entspricht auch, dass der Überwachungsauftrag eine Überwachungsdauer von 3 bis 5 Tagen vorsah (IV-act. 71-4).</w:t>
      </w:r>
    </w:p>
    <w:p>
      <w:r>
        <w:rPr>
          <w:b/>
        </w:rPr>
        <w:t>E. 6</w:t>
      </w:r>
    </w:p>
    <w:p>
      <w:r>
        <w:t>6.1  Das Gutachten von Dr. N.___ hielt fest, gemäss ICD-Kriterien könne die Diagnose einer posttraumatischen Belastungsstörung nur "wahrscheinlich" gestellt werden, denn bei deren Beginn hätten die Folterungen mindestens 5 Jahre zurückgelegen. Vegetative Störungen (wie die 2000/2001 beschriebenen Panikattacken) sowie dramatische Aus­drücke von Angst, Panik und Aggression seien nicht von erstrangiger Bedeutung bei der Diagnosestellung. Der 2002 festgelegte Invaliditätsgrad von 100 % stütze sich auf eine "wahrscheinliche" Diagnose. Auch spätere, chronifizierte Folgen von extremer Belastung, die zu einer Diagnose einer andauernden Persönlichkeitsänderung nach posttraumatischer Belastungsstörung hätten führen können, könnten weder anamnestisch noch klinisch belegt werden (IV-act. 103-17). In seinem Verhalten neige der Versicherte zu Reizbarkeit, Wutausbrüchen und Nervosität, sobald es in der Familie oder mit Dritten zu Auseinandersetzungen komme. Auch bestehe die Tendenz, bestimmte Fakten übertrieben oder dramatisch darzustellen, was zu reizbaren und histrionischen Persönlichkeitszügen passe. Diese könnten das Verhalten des Versicherten punktuell stören und unmittelbare Folgen für die Umgebung haben, seien aber in keiner Weise invalidisierend. Auch die differenzialdiagnostisch in Erwägung zu ziehende andauernde Persönlichkeitsänderung mit reizbaren und histrionischen Zügen nach wahrscheinlicher posttraumatischer Belastungsstörung habe in ihrer Art und ihrem Ausmass keine Auswirkungen auf die Arbeitsfähigkeit (IV-act. 103-16). Beim Eintritt in die psychiatrische Klinik B.___ am 6. Juni 2001 sei der Versicherte - abgesehen von "Sorgen um seinen Gesundheitszustand" - weitgehend unauffällig gewesen. Er sei wegen Ungeduld, Nervosität und Reizbarkeit aufgefallen; die gestellte Diagnose einer posttraumatischen Belastungsstörung nach Folter sei jedoch nicht nach ICD-10-Kriterien begründet worden und im Nachhinein als nur "wahrscheinlich" zu betrachten. Aufgrund dessen sei 2002 eine volle Berentung erfolgt, welche aus psychiatrischer Sicht weder aktenkundig, noch gemäss Verlauf oder nach dem aktuellen Befund begründet werden könne. Die Verhaltensauffälligkeiten wegen der reizbaren und histrionischen Charakterzüge seien ebenfalls nicht invalidisierend. Es habe nie ein Leidensdruck bestanden, welcher den Versicherten zu einer aktiven Teilnahme an einer psychiatrisch-psychotherapeutischen Behandlung habe motivieren können (IV-act. 103-16, 19). Die psychische Befindlichkeit beeinträchtige den Versicherten weder auf der psychisch-geistigen Ebene noch im sozialen Bereich derart, dass dadurch seine Arbeitsfähigkeit reduziert wäre. Aus aktueller Sicht und gemäss Verlauf - wie auch durch Observationsmaterial dokumentiert - bestünden weder in der angestammten noch in adaptierter Arbeitstätigkeit nachweisbare Einschränkungen der Arbeitsfähigkeit. Wie das Observationsmaterial zeige, sei der Versicherte in seiner Willensanstrengung nicht beeinträchtigt. Er sei in der Lage, seine Charakterzüge nach Belieben im Zaum zu halten, und dadurch seinem Arbeitsumfeld durchaus zumutbar (IV-act. 103-19 f.). Rehabilitationsmassnahmen, jegliche Arbeitstätigkeiten, die Suche nach einer Arbeitsstelle sowie die Willensanstrengung hierzu seien ihm zumutbar (IV-act. 103-20). Es sei anzunehmen, dass die damals angenommene Einschränkung der Arbeitsfähigkeit spätestens ab Dezember 2001 mit überwiegender Wahrscheinlichkeit nicht mehr bestanden habe (IV-act. 103-21). 6.2  Der Rechtsvertreter des Beschwerdeführers legt eine Einschätzung von Dr. F.___ vom 1. Juli 2013 ins Recht (act. G 1.6). Der Hausarzt berichtet, er begleite den Beschwerdeführer seit sechs Jahren hausärztlich. Er nehme den Beschwerdeführer als Patienten wahr, der unter einer Persönlichkeitsstörung mit Krankheitswert leide. Der Beschwerdeführer könne mit Ängsten, Ärger, Widerstand, Hindernissen im Alltag, subjektiv empfundener Ungerechtigkeit, existentiellen Nöten und allgemeinen Alltagssorgen schlecht umgehen. Dadurch ausgelöste Emotionen, Impulse und Gedanken bestürmten und destabilisierten ihn und seien seiner Kontrolle oft nur eingeschränkt unterworfen. Er erfahre beim Beschwerdeführer eine geringe Frustrationstoleranz und eine eingeschränkte Verlässlichkeit betreffend Abmachungen und Vereinbarungen. Aggressive Gedanken empfinde er als ihm aufgezwungen und fremd; er fühle sich ihnen gegenüber wehrlos und befürchte, irgendwann einmal die Kontrolle zu verlieren. Diese Persönlichkeitsstörung sei bei der Beurteilung der Arbeits-/ Erwerbsfähigkeit und Vermittelbarkeit zu berücksichtigen. Dabei dürfte es einen erheblichen Unterschied ausmachen, ob der Beschwerdeführer im Geschäft seines Sohnes aushilfsweise tätig sei oder im freien Arbeitsmarkt regelmässig arbeiten müsse. Unter idealen Bedingungen (geschützte Arbeitsstelle mit professioneller Begleitung) schätze er die Arbeitsfähigkeit mit etwa 50 % ein. Bei Differenzen am Arbeitsplatz sei das Aggressionspotential des Beschwerdeführers sehr schwierig einzuschätzen (act. G 1.6). Die behandelnden Ärztinnen der psychiatrischen Klinik O.___ berichteten am 7. März 2013, der Beschwerdeführer sei aufgrund einer akuten Verschlechterung der psychischen Verfassung von seinem Hausarzt zugewiesen worden. Er habe ein wechselndes psychisches Zustandsbild gezeigt. Er wirke teilweise niedergedrückt, leidend, dann wieder im Antrieb gesteigert und angespannt. Er leide unter starken Schlafstörungen. Von Aggressionen gegenüber Dritten habe er sich im Gespräch distanzieren können. Als Diagnosen sind eine mittelgradige depressive Episode (ICD-10: F32.1), kombinierte und andere Persönlichkeitsstörungen mit narzisstischen und emotional instabilen Persönlichkeitszügen, eine somatoforme Schmerzstörung (ICD-10: F45.4), Diabetes mellitus Typ II, linksseitig betonte Spannungskopfschmerzen (normales Kernspintomogramm vom 7. November 2012), Schwierigkeiten bei der Lebensbewältigung sowie anamnestisch eine posttraumatische Belastungsstörung aufgeführt. Seit dem Bericht der psychiatrischen Klinik B.___ vom 24. Juli 2001 scheine sich die psychische Symptomatik eher verstärkt zu haben. Seit dem psychiatrischen Gutachten von Dr. N.___ vom 4. Mai 2012 bestünden in psychischer Hinsicht im Wesentlichen qualitativ unveränderte Symptome. In der klinischen Verhaltensbeobachtung habe die Symptomatik eher ausgeprägter gewirkt. Der Beschwerdeführer habe während der stationären Behandlung zudem häufig unter zum Teil starken Kopfschmerzen und Beinschmerzen gelitten. Aufgrund der anamnestischen Angaben und dem Verlauf der stationären Behandlung sei von einer ungünstigen Krankheitsbewältigung auszugehen (act. G 1.5). 6.3  Es ist nachvollziehbar, dass Dr. N.___ die Diagnose der posttraumatischen Belastungsstörung bereits rückblickend nicht als sicher erwiesen bezeichnete, da sie erst Jahre nach der gemäss Aussage des Beschwerdeführers etwa 1990 bis 1992 erlittenen Folter und dem Tod seines Bruders 1997 aufgetreten ist. Auch sind seit Sommer 2006, als chronische Schmerzen an der rechten Oberschenkelvorderseite abgeklärt wurden (IV-act. 64-6 ff.), keine neuen Diagnosen oder medizinischen Behandlungen mehr aktenkundig, so dass der Schluss auf einen fehlenden invalidisierenden psychischen Leidensdruck plausibel erscheint. Zwar belegte die Observation eine Arbeitstätigkeit lediglich im Rahmen eines etwa 50 %-Pensums, welches der Beschwerdeführer zudem nicht alleine, sondern im Umfeld seiner Familie bewältigte. Doch führte er im Mittagsverkehr Kurierdienste aus, was nicht dem aufgrund der medizinischen Berichte der Klinik B.___ zu erwartenden Verhalten entsprach. Vor allem aber stützt sich der Gutachter nicht alleine auf die Observationsberichte, sondern auch auf eine eingehende eigene Untersuchung des Beschwerdeführers und begründet plausibel, dass spätestens ab August 2010 keine medizinischen Einschränkungen der Arbeitsfähigkeit mehr bestanden haben. Das Gutachten berücksichtigt die vorliegenden Akten und die geklagten Beschwerden. Dr. F.___ und die Ärztinnen der Klinik O.___ diagnostizierten dem Beschwerdeführer im Gegensatz zu Dr. N.___ eine Persönlichkeitsstörung (act. G 1.6) und eine mittelgradige depressive Episode (ICD-10: F32.1; act. G 1.5). Dr. F.___ schätzt die Arbeitsfähigkeit aufgrund reduzierter psychischer Belastbarkeit und möglicher Differenzen am Arbeitsplatz auf 50 % in geschütztem Rahmen. Die Berichte von Dr. F.___ und der Klinik O.___ legen jedoch nicht dar, dass bzw. inwiefern ihre zusätzlichen Diagnosen zu einer von Dr. N.___ abweichenden Beurteilung der längerfristigen Arbeitsfähigkeit und damit zur Invalidität führen. Sie vermögen daher an der Massgeblichkeit des Gutachtens nichts zu ändern. Für die in diesem Verfahren relevante Zeitdauer ist somit auf das Gutachten von Dr. N.___ abzustellen und damit eine volle Arbeitsfähigkeit spätestens ab 1. August 2010 ausgewiesen. Für die vorherige Zeit ist das rückblickend von Dr. N.___ festgestellte Fehlen einer hinreichend abgestützten Diagnose jedoch lediglich möglicherweise zutreffend. Mangels echtzeitlicher damaliger Erhebungen durch Dr. N.___ oder durch andere Fachärzte ist dies jedoch nicht überwiegend wahrscheinlich, und es ist erst recht nicht von einer zweifellosen Unrichtigkeit der Verfügung vom 19. Februar 2003 auszugehen, welche im Sinne von Art. 53 Abs. 2 ATSG deren Revision rechtfertigen würde.</w:t>
      </w:r>
    </w:p>
    <w:p>
      <w:r>
        <w:rPr>
          <w:b/>
        </w:rPr>
        <w:t>E. 7</w:t>
      </w:r>
    </w:p>
    <w:p>
      <w:r>
        <w:t>7.1  Es bleibt darüber zu befinden, ob die Voraussetzungen der rückwirkenden Renteneinstellung beziehungsweise der Rückforderung gemäss Art. 88 bis Abs. 2 lit. c IVV (in der bis zum 31. Dezember 2014 geltenden Fassung; vgl. BGE 127 V 467 E. 1, 126 V 136 E. 4b, BGE 140 V 44 f. E. 6.3.1, Urteil des Bundesgerichts vom 23. März 2013 8C_660/2012, 8C_790/2012, E. 3.31, je mit Hinweisen) erfüllt sind. 7.2  Die Tätigkeit des Beschwerdeführers wurde im Arbeitsvertrag umschrieben mit "Aushilfe Kebab und Kurier". Die Arbeitszeit wurde mit wöchentlich 6,5 Stunden, entsprechend einem Arbeitspensum von 14,4 %, jeweils dienstags bis samstags festgelegt. Es wurde ein Monatslohn von Fr. 500.00 brutto vereinbart. Vertragsbeginn war der 1. August 2010 (act. G 12.3; EL-act. 123-3 ff.). Die Observation ergab, dass der Beschwerdeführer spätestens ab Ende Oktober 2010 tatsächlich im Umfang von rund 50 % erwerbstätig war (IV-act. 74). Am 20. April 2011 gab der Beschwerdeführer an, sein Gesundheitszustand sei unverändert und er arbeite seit sechs Monaten täglich eine Stunde im Imbissstand (IV-act. 78). Sein Sohn äusserte am 1. Juni 2011, der Beschwerdeführer habe im Lokal "nichts zu suchen" (IV-act. 83). Am 8. Juni 2011 sagte der Beschwerdeführer im Wesent­lichen aus, er halte sich oft im Imbisslokal seines Sohnes auf; er arbeite jedoch nicht die ganze Zeit, sondern warte jeweils ab, bis sein Sohn ihm Arbeiten zuweise (IV-act. 87-9). Das Gutachten von Dr. N.___ (Eingang bei der Beschwerdegegnerin am 11. Mai 2012; IV-act. 103-1) ergab keine Einschränkung der Arbeitsfähigkeit aus psychiatrischer Sicht (IV-act. 103). Dieses wurde am 20. Mai 2012 durch den RAD gewürdigt (IV-act. 106). Der Vorbescheid erging am 30. November 2012 (IV-act. 108). Am 13. Februar 2013 liess der Beschwerdeführer zum Vorbescheid Stellung nehmen und reichte weitere medizinische Berichte ein (IV-act. 121). Nach deren Beurteilung durch den RAD am 2. April 2013 (IV-act. 124) und einer weiteren Eingabe des Beschwerdeführers hierzu am 14. Mai 2013 (IV-act. 126) erliess die Beschwerdegegnerin am 3. Juni 2013 die angefochtene Verfügung (act. G 1.2). 7.3  Die Observation hat ergeben, dass der Beschwerdeführer in weit umfangreicherem Ausmass arbeitstätig war, als dies aus dem eingereichten Arbeitsvertrag und seinen Angaben hervorging. Er ist somit seiner Meldepflicht bis heute in wesentlicher Weise unvollständig nachgekommen. Die Beschwerdegegnerin erhielt erst mit Eingang des beweiskräftigen Gutachtens von Dr. N.___ am 11. Mai 2012 Kenntnis vom Ausmass der Arbeitsfähigkeit des Beschwerdeführers. Ob der Beschwerdeführer - wie die Beschwerdegegnerin geltend macht - später erneut eine Arbeitstätigkeit aufgenommen hat, ist aufgrund der als erwiesen zu betrachtenden vollen Arbeitsfähigkeit ohne Relevanz; auf die beantragte Verpflichtung des Beschwerdeführers, dem Gericht diesbezüglich wahrheitsgemäss und vollständig Auskunft zu geben (act. G 17), ist somit zu verzichten. Auch wenn bis zum Erlass der angefochtenen Verfügung am 3. Juni 2013 noch über ein Jahr verging, hat die Beschwerdegegnerin den Vorbescheid zeitnah erlassen, und auch der Zeitablauf bis zum Ergehen der angefochtenen Verfügung erscheint in Anbetracht der noch erfolgten Eingaben und Abklärungen vertretbar. Von einem Wegfall der Kausalität zwischen der Verletzung der Meldepflicht und der (Weiter)ausrichtung der Rente (vgl. Urteil des Bundesgerichts vom 4. Juni 2014, 8C_212/2014, E. 4.2.1 mit weiteren Hinweisen; BGE 118 V 219 ff. E. 3b; Urteil 9C_320/2014, 9C_336/2014 vom 29. Januar 2015, E. 5.5.2; siehe aber auch die Kritik an dieser Praxis im Urteil IV 2006/296 des Versicherungsgerichts des Kantons St. Gallen vom 4. Juni 2008, E. 5.3) kann somit nicht ausgegangen werden. 7.4  Die Beschwerdegegnerin stellte die Rente - in Berücksichtigung der dreimonatigen Wartefrist gemäss Art. 88a Abs. 1 IVV - per 31. Oktober 2010 ein. Somit bleibt ohne Belang, ob bzw. dass der Beschwerdeführer den Arbeitsvertrag erst im Oktober 2010 einreichte (vgl. dazu E. 4.3.1). 7.5  Abschliessend ist zu prüfen, ob die Verwirkungsfristen gemäss Art. 25 Abs. 2 ATSG gewahrt sind. Am 30. November 2012 erliess die Beschwerdegegnerin den Vorbescheid (IV-act. 108). Dieser wirkt nach bundesgerichtlicher Rechtsprechung fristwahrend (BGE 119 V 434 E. 3c; vgl. auch den Bundesgerichtsentscheid I 1023/06 vom 12. Februar 2007 E. 3.3). Damit wurde die einjährige relative Verwirkungsfrist eingehalten. Ohne Weiteres gewahrt ist sodann die absolute fünfjährige Verwirkungsfrist. Die Aufhebung der Rente per 31. Oktober 2010 und die Rückforderung der zu Unrecht erbrachten Leistungen sind daher nicht zu beanstanden.</w:t>
      </w:r>
    </w:p>
    <w:p>
      <w:r>
        <w:rPr>
          <w:b/>
        </w:rPr>
        <w:t>E. 8</w:t>
      </w:r>
    </w:p>
    <w:p>
      <w:r>
        <w:t>8.1  Nach dem Gesagten ist die Beschwerde abzuweisen. 8.2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Entsprechend dem Verfahrensausgang ist die Gerichtsgebühr dem Beschwerdeführer aufzuerlegen. Zufolge der am 11. September 2013 bewilligten unentgeltlichen Rechtspflege (act. G 8) ist er von der Bezahlung zu befreien.</w:t>
      </w:r>
    </w:p>
    <w:p>
      <w:r>
        <w:rPr>
          <w:b/>
        </w:rPr>
        <w:t>E. 8.3</w:t>
      </w:r>
    </w:p>
    <w:p>
      <w:r>
        <w:t>8.3.1      Der anwaltlich vertretene Beschwerdeführer hat aufgrund der bewilligten unentgeltlichen Rechtspflege sodann grundsätzlich Anspruch auf Ersatz der Parteikosten, die vom Gericht ohne Rücksicht auf den Streitwert nach der Bedeutung der Streitsache und nach der Schwierigkeit des Prozesses bemessen werden (Art. 61 lit. g ATSG; vgl. auch Art. 98 ff. VRP). Angemessen erscheint eine Entschädigung von pauschal Fr. 3’500.-- (einschliesslich Barauslagen und Mehrwertsteuer). 8.3.2      Der Staat ist zufolge unentgeltlicher Rechtsverbeiständung zu verpflichten, für die Kosten der Rechtsvertretung des Beschwerdeführers aufzukommen. Die entsprechende Entschädigung ist gemäss Art. 31 Abs. 3 des Anwaltsgesetzes (AnwG; sGS 963.70) um einen Fünftel zu kürzen. Somit hat der Staat den Rechtsvertreter des Beschwerdeführers mit Fr. 2’800.-- (einschliesslich Barauslagen und Mehrwertsteuer) zu entschädigen. 8.3.3      Sollten es die wirtschaftlichen Verhältnisse dereinst gestatten, kann der Beschwerdeführer zur Nachzahlung der Gerichtskosten und zur Rückerstattung der Entschädigung für die unentgeltliche Rechtsverbeiständung verpflichtet werden (Art. 99 Abs. 2 VRP i.V.m. Art. 123 ZPO). Demgemäss hat das Versicherungsgericht im Zirkulationsverfahren gemäss Art. 39 VRP entschieden: 1.      Die Beschwerde wird abgewiesen. 2.      Der Beschwerdeführer wird von der Bezahlung der Gerichtskosten von Fr. 600.-- befreit. 3.      Der Staat hat den Rechtsvertreter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